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46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52"/>
        <w:gridCol w:w="6970"/>
        <w:gridCol w:w="1843"/>
      </w:tblGrid>
      <w:tr>
        <w:trPr>
          <w:trHeight w:val="1215" w:hRule="atLeast"/>
        </w:trPr>
        <w:tc>
          <w:tcPr>
            <w:tcW w:w="652" w:type="dxa"/>
            <w:tcBorders>
              <w:bottom w:val="single" w:sz="4" w:space="0" w:color="000000"/>
            </w:tcBorders>
            <w:vAlign w:val="bottom"/>
          </w:tcPr>
          <w:p>
            <w:pPr>
              <w:pStyle w:val="Normal"/>
              <w:widowControl w:val="false"/>
              <w:spacing w:lineRule="auto" w:line="240" w:before="0" w:after="0"/>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tc>
        <w:tc>
          <w:tcPr>
            <w:tcW w:w="8813" w:type="dxa"/>
            <w:gridSpan w:val="2"/>
            <w:tcBorders/>
            <w:vAlign w:val="center"/>
          </w:tcPr>
          <w:p>
            <w:pPr>
              <w:pStyle w:val="NoSpacing"/>
              <w:widowControl w:val="false"/>
              <w:spacing w:lineRule="auto" w:line="276"/>
              <w:ind w:firstLine="4593"/>
              <w:rPr>
                <w:rFonts w:ascii="Times New Roman" w:hAnsi="Times New Roman" w:cs="Times New Roman"/>
                <w:sz w:val="28"/>
                <w:szCs w:val="28"/>
                <w:lang w:val="ro-RO"/>
              </w:rPr>
            </w:pPr>
            <w:r>
              <w:rPr>
                <w:rFonts w:cs="Times New Roman" w:ascii="Times New Roman" w:hAnsi="Times New Roman"/>
                <w:sz w:val="28"/>
                <w:szCs w:val="28"/>
                <w:lang w:val="ro-RO"/>
              </w:rPr>
            </w:r>
          </w:p>
          <w:p>
            <w:pPr>
              <w:pStyle w:val="NoSpacing"/>
              <w:widowControl w:val="false"/>
              <w:spacing w:lineRule="auto" w:line="276"/>
              <w:ind w:firstLine="4593"/>
              <w:rPr>
                <w:rFonts w:ascii="Times New Roman" w:hAnsi="Times New Roman" w:cs="Times New Roman"/>
                <w:sz w:val="28"/>
                <w:szCs w:val="28"/>
                <w:lang w:val="ro-RO"/>
              </w:rPr>
            </w:pPr>
            <w:r>
              <w:rPr>
                <w:rFonts w:cs="Times New Roman" w:ascii="Times New Roman" w:hAnsi="Times New Roman"/>
                <w:sz w:val="28"/>
                <w:szCs w:val="28"/>
                <w:lang w:val="ro-RO"/>
              </w:rPr>
            </w:r>
          </w:p>
          <w:p>
            <w:pPr>
              <w:pStyle w:val="NoSpacing"/>
              <w:widowControl w:val="false"/>
              <w:spacing w:lineRule="auto" w:line="276"/>
              <w:ind w:firstLine="4593"/>
              <w:rPr>
                <w:rFonts w:ascii="Times New Roman" w:hAnsi="Times New Roman" w:cs="Times New Roman"/>
                <w:sz w:val="28"/>
                <w:szCs w:val="28"/>
                <w:lang w:val="ro-RO"/>
              </w:rPr>
            </w:pPr>
            <w:r>
              <w:rPr>
                <w:rFonts w:cs="Times New Roman" w:ascii="Times New Roman" w:hAnsi="Times New Roman"/>
                <w:sz w:val="28"/>
                <w:szCs w:val="28"/>
                <w:lang w:val="ro-RO"/>
              </w:rPr>
              <w:t>Anexa nr. 2 la  decizia</w:t>
            </w:r>
          </w:p>
          <w:p>
            <w:pPr>
              <w:pStyle w:val="NoSpacing"/>
              <w:widowControl w:val="false"/>
              <w:spacing w:lineRule="auto" w:line="276"/>
              <w:ind w:firstLine="4593"/>
              <w:rPr>
                <w:rFonts w:ascii="Times New Roman" w:hAnsi="Times New Roman" w:cs="Times New Roman"/>
                <w:sz w:val="28"/>
                <w:szCs w:val="28"/>
                <w:lang w:val="ro-RO"/>
              </w:rPr>
            </w:pPr>
            <w:r>
              <w:rPr>
                <w:rFonts w:cs="Times New Roman" w:ascii="Times New Roman" w:hAnsi="Times New Roman"/>
                <w:sz w:val="28"/>
                <w:szCs w:val="28"/>
                <w:lang w:val="ro-RO"/>
              </w:rPr>
              <w:t>Consiliului  Municipal  Chișinău</w:t>
            </w:r>
          </w:p>
          <w:p>
            <w:pPr>
              <w:pStyle w:val="NoSpacing"/>
              <w:widowControl w:val="false"/>
              <w:spacing w:lineRule="auto" w:line="276"/>
              <w:ind w:firstLine="4593"/>
              <w:rPr>
                <w:rFonts w:ascii="Times New Roman" w:hAnsi="Times New Roman" w:cs="Times New Roman"/>
                <w:sz w:val="28"/>
                <w:szCs w:val="28"/>
                <w:lang w:val="ro-RO"/>
              </w:rPr>
            </w:pPr>
            <w:r>
              <w:rPr>
                <w:rFonts w:cs="Times New Roman" w:ascii="Times New Roman" w:hAnsi="Times New Roman"/>
                <w:sz w:val="28"/>
                <w:szCs w:val="28"/>
                <w:lang w:val="ro-RO"/>
              </w:rPr>
              <w:t>nr._______ din _________2023</w:t>
            </w:r>
          </w:p>
          <w:p>
            <w:pPr>
              <w:pStyle w:val="Normal"/>
              <w:widowControl w:val="false"/>
              <w:spacing w:lineRule="auto" w:line="240" w:before="0" w:after="0"/>
              <w:jc w:val="center"/>
              <w:rPr>
                <w:rFonts w:ascii="Times New Roman" w:hAnsi="Times New Roman" w:eastAsia="Times New Roman" w:cs="Times New Roman"/>
                <w:b/>
                <w:b/>
                <w:bCs/>
                <w:sz w:val="28"/>
                <w:szCs w:val="28"/>
                <w:lang w:val="ro-RO" w:eastAsia="ru-RU"/>
              </w:rPr>
            </w:pPr>
            <w:r>
              <w:rPr>
                <w:rFonts w:eastAsia="Times New Roman" w:cs="Times New Roman" w:ascii="Times New Roman" w:hAnsi="Times New Roman"/>
                <w:b/>
                <w:bCs/>
                <w:sz w:val="28"/>
                <w:szCs w:val="28"/>
                <w:lang w:val="ro-RO" w:eastAsia="ru-RU"/>
              </w:rPr>
            </w:r>
          </w:p>
          <w:p>
            <w:pPr>
              <w:pStyle w:val="Normal"/>
              <w:widowControl w:val="false"/>
              <w:spacing w:lineRule="auto" w:line="240" w:before="0" w:after="0"/>
              <w:jc w:val="center"/>
              <w:rPr>
                <w:rFonts w:ascii="Times New Roman" w:hAnsi="Times New Roman" w:eastAsia="Times New Roman" w:cs="Times New Roman"/>
                <w:b/>
                <w:b/>
                <w:bCs/>
                <w:sz w:val="28"/>
                <w:szCs w:val="28"/>
                <w:lang w:val="ro-RO" w:eastAsia="ru-RU"/>
              </w:rPr>
            </w:pPr>
            <w:r>
              <w:rPr>
                <w:rFonts w:eastAsia="Times New Roman" w:cs="Times New Roman" w:ascii="Times New Roman" w:hAnsi="Times New Roman"/>
                <w:b/>
                <w:bCs/>
                <w:sz w:val="28"/>
                <w:szCs w:val="28"/>
                <w:lang w:val="ro-RO" w:eastAsia="ru-RU"/>
              </w:rPr>
            </w:r>
          </w:p>
          <w:p>
            <w:pPr>
              <w:pStyle w:val="Normal"/>
              <w:widowControl w:val="false"/>
              <w:spacing w:lineRule="auto" w:line="240" w:before="0" w:after="0"/>
              <w:jc w:val="center"/>
              <w:rPr>
                <w:rFonts w:ascii="Times New Roman" w:hAnsi="Times New Roman" w:eastAsia="Times New Roman" w:cs="Times New Roman"/>
                <w:b/>
                <w:b/>
                <w:bCs/>
                <w:sz w:val="28"/>
                <w:szCs w:val="28"/>
                <w:lang w:val="en-US" w:eastAsia="ru-RU"/>
              </w:rPr>
            </w:pPr>
            <w:r>
              <w:rPr>
                <w:rFonts w:eastAsia="Times New Roman" w:cs="Times New Roman" w:ascii="Times New Roman" w:hAnsi="Times New Roman"/>
                <w:b/>
                <w:bCs/>
                <w:sz w:val="28"/>
                <w:szCs w:val="28"/>
                <w:lang w:val="en-US" w:eastAsia="ru-RU"/>
              </w:rPr>
              <w:t>Cotele taxei locale</w:t>
            </w:r>
          </w:p>
          <w:p>
            <w:pPr>
              <w:pStyle w:val="Normal"/>
              <w:widowControl w:val="false"/>
              <w:spacing w:lineRule="auto" w:line="240" w:before="0" w:after="0"/>
              <w:jc w:val="center"/>
              <w:rPr>
                <w:rFonts w:ascii="Times New Roman" w:hAnsi="Times New Roman" w:eastAsia="Times New Roman" w:cs="Times New Roman"/>
                <w:b/>
                <w:b/>
                <w:bCs/>
                <w:sz w:val="28"/>
                <w:szCs w:val="28"/>
                <w:lang w:val="ro-RO" w:eastAsia="ru-RU"/>
              </w:rPr>
            </w:pPr>
            <w:r>
              <w:rPr>
                <w:rFonts w:eastAsia="Times New Roman" w:cs="Times New Roman" w:ascii="Times New Roman" w:hAnsi="Times New Roman"/>
                <w:b/>
                <w:bCs/>
                <w:sz w:val="28"/>
                <w:szCs w:val="28"/>
                <w:lang w:val="en-US" w:eastAsia="ru-RU"/>
              </w:rPr>
              <w:t>pentru  prestarea serviciilor  de transport auto de călători  pe teritoriul  municipiului Chi</w:t>
            </w:r>
            <w:r>
              <w:rPr>
                <w:rFonts w:eastAsia="Times New Roman" w:cs="Times New Roman" w:ascii="Times New Roman" w:hAnsi="Times New Roman"/>
                <w:b/>
                <w:bCs/>
                <w:sz w:val="28"/>
                <w:szCs w:val="28"/>
                <w:lang w:val="en-US" w:eastAsia="ru-RU"/>
              </w:rPr>
              <w:t>ș</w:t>
            </w:r>
            <w:r>
              <w:rPr>
                <w:rFonts w:eastAsia="Times New Roman" w:cs="Times New Roman" w:ascii="Times New Roman" w:hAnsi="Times New Roman"/>
                <w:b/>
                <w:bCs/>
                <w:sz w:val="28"/>
                <w:szCs w:val="28"/>
                <w:lang w:val="en-US" w:eastAsia="ru-RU"/>
              </w:rPr>
              <w:t xml:space="preserve">inău pentru anul </w:t>
            </w:r>
            <w:r>
              <w:rPr>
                <w:rFonts w:eastAsia="Times New Roman" w:cs="Times New Roman" w:ascii="Times New Roman" w:hAnsi="Times New Roman"/>
                <w:b/>
                <w:bCs/>
                <w:sz w:val="28"/>
                <w:szCs w:val="28"/>
                <w:lang w:val="ro-RO" w:eastAsia="ru-RU"/>
              </w:rPr>
              <w:t>2024</w:t>
            </w:r>
          </w:p>
          <w:p>
            <w:pPr>
              <w:pStyle w:val="Normal"/>
              <w:widowControl w:val="false"/>
              <w:spacing w:lineRule="auto" w:line="240" w:before="0" w:after="0"/>
              <w:jc w:val="center"/>
              <w:rPr>
                <w:rFonts w:ascii="Times New Roman" w:hAnsi="Times New Roman" w:eastAsia="Times New Roman" w:cs="Times New Roman"/>
                <w:b/>
                <w:b/>
                <w:bCs/>
                <w:sz w:val="28"/>
                <w:szCs w:val="28"/>
                <w:lang w:val="en-US" w:eastAsia="ru-RU"/>
              </w:rPr>
            </w:pPr>
            <w:r>
              <w:rPr>
                <w:rFonts w:eastAsia="Times New Roman" w:cs="Times New Roman" w:ascii="Times New Roman" w:hAnsi="Times New Roman"/>
                <w:b/>
                <w:bCs/>
                <w:sz w:val="28"/>
                <w:szCs w:val="28"/>
                <w:lang w:val="en-US" w:eastAsia="ru-RU"/>
              </w:rPr>
            </w:r>
          </w:p>
        </w:tc>
      </w:tr>
      <w:tr>
        <w:trPr>
          <w:trHeight w:val="1620" w:hRule="atLeast"/>
        </w:trPr>
        <w:tc>
          <w:tcPr>
            <w:tcW w:w="6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Nr. de rută</w:t>
            </w:r>
          </w:p>
        </w:tc>
        <w:tc>
          <w:tcPr>
            <w:tcW w:w="6970" w:type="dxa"/>
            <w:tcBorders>
              <w:top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Denumirea rutei</w:t>
            </w:r>
          </w:p>
        </w:tc>
        <w:tc>
          <w:tcPr>
            <w:tcW w:w="1843" w:type="dxa"/>
            <w:tcBorders>
              <w:top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Cota lunară   a taxei locale pentru o unitate de transport,</w:t>
              <w:br/>
              <w:t>lei</w:t>
            </w:r>
          </w:p>
        </w:tc>
      </w:tr>
      <w:tr>
        <w:trPr>
          <w:trHeight w:val="405" w:hRule="atLeast"/>
        </w:trPr>
        <w:tc>
          <w:tcPr>
            <w:tcW w:w="6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101</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lang w:val="en-US"/>
              </w:rPr>
              <w:t xml:space="preserve">Or. Durlești (str. Caucaz) – bd. </w:t>
            </w:r>
            <w:r>
              <w:rPr>
                <w:rFonts w:cs="Times New Roman" w:ascii="Times New Roman" w:hAnsi="Times New Roman"/>
                <w:color w:val="000000" w:themeColor="text1"/>
                <w:sz w:val="28"/>
                <w:szCs w:val="28"/>
              </w:rPr>
              <w:t>Traian</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500</w:t>
            </w:r>
          </w:p>
        </w:tc>
      </w:tr>
      <w:tr>
        <w:trPr>
          <w:trHeight w:val="52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103</w:t>
            </w:r>
          </w:p>
        </w:tc>
        <w:tc>
          <w:tcPr>
            <w:tcW w:w="6970" w:type="dxa"/>
            <w:tcBorders>
              <w:bottom w:val="single" w:sz="4" w:space="0" w:color="000000"/>
              <w:right w:val="single" w:sz="4" w:space="0" w:color="000000"/>
            </w:tcBorders>
            <w:vAlign w:val="center"/>
          </w:tcPr>
          <w:p>
            <w:pPr>
              <w:pStyle w:val="Normal"/>
              <w:widowControl w:val="false"/>
              <w:spacing w:before="0" w:after="160"/>
              <w:ind w:left="2397" w:hanging="2397"/>
              <w:rPr>
                <w:rFonts w:ascii="Times New Roman" w:hAnsi="Times New Roman" w:cs="Times New Roman"/>
                <w:bCs/>
                <w:color w:val="000000" w:themeColor="text1"/>
                <w:sz w:val="28"/>
                <w:szCs w:val="28"/>
                <w:lang w:val="en-US"/>
              </w:rPr>
            </w:pPr>
            <w:r>
              <w:rPr>
                <w:rFonts w:cs="Times New Roman" w:ascii="Times New Roman" w:hAnsi="Times New Roman"/>
                <w:bCs/>
                <w:color w:val="000000" w:themeColor="text1"/>
                <w:sz w:val="28"/>
                <w:szCs w:val="28"/>
                <w:lang w:val="en-US"/>
              </w:rPr>
              <w:t xml:space="preserve">Sat. Dumbrava – </w:t>
            </w:r>
            <w:r>
              <w:rPr>
                <w:rFonts w:cs="Times New Roman" w:ascii="Times New Roman" w:hAnsi="Times New Roman"/>
                <w:color w:val="000000" w:themeColor="text1"/>
                <w:sz w:val="28"/>
                <w:szCs w:val="28"/>
                <w:lang w:val="en-US"/>
              </w:rPr>
              <w:t>str. Arheolog Ion Casian-Suruceanu</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700</w:t>
            </w:r>
          </w:p>
        </w:tc>
      </w:tr>
      <w:tr>
        <w:trPr>
          <w:trHeight w:val="40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106</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lang w:val="en-US"/>
              </w:rPr>
            </w:pPr>
            <w:r>
              <w:rPr>
                <w:rFonts w:cs="Times New Roman" w:ascii="Times New Roman" w:hAnsi="Times New Roman"/>
                <w:bCs/>
                <w:color w:val="000000" w:themeColor="text1"/>
                <w:sz w:val="28"/>
                <w:szCs w:val="28"/>
                <w:lang w:val="en-US"/>
              </w:rPr>
              <w:t>Piaţa Dimitrie Cantemir – sat. Ghidighici (Sărături)</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350</w:t>
            </w:r>
          </w:p>
        </w:tc>
      </w:tr>
      <w:tr>
        <w:trPr>
          <w:trHeight w:val="34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112</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lang w:val="en-US"/>
              </w:rPr>
            </w:pPr>
            <w:r>
              <w:rPr>
                <w:rFonts w:cs="Times New Roman" w:ascii="Times New Roman" w:hAnsi="Times New Roman"/>
                <w:bCs/>
                <w:color w:val="000000" w:themeColor="text1"/>
                <w:sz w:val="28"/>
                <w:szCs w:val="28"/>
                <w:lang w:val="en-US"/>
              </w:rPr>
              <w:t>Str. Studenţilor – str. C. Vârnav</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600</w:t>
            </w:r>
          </w:p>
        </w:tc>
      </w:tr>
      <w:tr>
        <w:trPr>
          <w:trHeight w:val="37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113</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lang w:val="en-US"/>
              </w:rPr>
            </w:pPr>
            <w:r>
              <w:rPr>
                <w:rFonts w:cs="Times New Roman" w:ascii="Times New Roman" w:hAnsi="Times New Roman"/>
                <w:color w:val="000000" w:themeColor="text1"/>
                <w:sz w:val="28"/>
                <w:szCs w:val="28"/>
                <w:lang w:val="en-US"/>
              </w:rPr>
              <w:t>Str.</w:t>
            </w:r>
            <w:r>
              <w:rPr>
                <w:rFonts w:cs="Times New Roman" w:ascii="Times New Roman" w:hAnsi="Times New Roman"/>
                <w:color w:val="000000" w:themeColor="text1"/>
                <w:sz w:val="28"/>
                <w:szCs w:val="28"/>
                <w:lang w:val="en-GB"/>
              </w:rPr>
              <w:t xml:space="preserve"> </w:t>
            </w:r>
            <w:r>
              <w:rPr>
                <w:rFonts w:cs="Times New Roman" w:ascii="Times New Roman" w:hAnsi="Times New Roman"/>
                <w:color w:val="000000" w:themeColor="text1"/>
                <w:sz w:val="28"/>
                <w:szCs w:val="28"/>
                <w:lang w:val="en-US"/>
              </w:rPr>
              <w:t>M. Sadoveanu</w:t>
            </w:r>
            <w:r>
              <w:rPr>
                <w:rFonts w:cs="Times New Roman" w:ascii="Times New Roman" w:hAnsi="Times New Roman"/>
                <w:bCs/>
                <w:color w:val="000000" w:themeColor="text1"/>
                <w:sz w:val="28"/>
                <w:szCs w:val="28"/>
                <w:lang w:val="en-US"/>
              </w:rPr>
              <w:t xml:space="preserve"> – bd. Dacia (</w:t>
            </w:r>
            <w:r>
              <w:rPr>
                <w:rFonts w:cs="Times New Roman" w:ascii="Times New Roman" w:hAnsi="Times New Roman"/>
                <w:color w:val="000000" w:themeColor="text1"/>
                <w:sz w:val="28"/>
                <w:szCs w:val="28"/>
                <w:lang w:val="en-US"/>
              </w:rPr>
              <w:t>magazinul „METRO-2”)</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600</w:t>
            </w:r>
          </w:p>
        </w:tc>
      </w:tr>
      <w:tr>
        <w:trPr>
          <w:trHeight w:val="40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120</w:t>
            </w:r>
          </w:p>
        </w:tc>
        <w:tc>
          <w:tcPr>
            <w:tcW w:w="6970" w:type="dxa"/>
            <w:tcBorders>
              <w:bottom w:val="single" w:sz="4" w:space="0" w:color="000000"/>
              <w:right w:val="single" w:sz="4" w:space="0" w:color="000000"/>
            </w:tcBorders>
            <w:vAlign w:val="center"/>
          </w:tcPr>
          <w:p>
            <w:pPr>
              <w:pStyle w:val="Corptext"/>
              <w:widowControl w:val="false"/>
              <w:jc w:val="left"/>
              <w:rPr>
                <w:b w:val="false"/>
                <w:b w:val="false"/>
                <w:bCs/>
                <w:color w:val="000000" w:themeColor="text1"/>
                <w:szCs w:val="28"/>
              </w:rPr>
            </w:pPr>
            <w:r>
              <w:rPr>
                <w:b w:val="false"/>
                <w:bCs/>
                <w:color w:val="000000" w:themeColor="text1"/>
                <w:szCs w:val="28"/>
              </w:rPr>
              <w:t>Str. Sf. Vineri – șos. Muncești</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600</w:t>
            </w:r>
          </w:p>
        </w:tc>
      </w:tr>
      <w:tr>
        <w:trPr>
          <w:trHeight w:val="52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121</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rPr>
            </w:pPr>
            <w:r>
              <w:rPr>
                <w:rFonts w:cs="Times New Roman" w:ascii="Times New Roman" w:hAnsi="Times New Roman"/>
                <w:bCs/>
                <w:color w:val="000000" w:themeColor="text1"/>
                <w:sz w:val="28"/>
                <w:szCs w:val="28"/>
                <w:lang w:val="en-US"/>
              </w:rPr>
              <w:t xml:space="preserve">Comuna Bubuieci (str. Ștefan cel Mare) – str. </w:t>
            </w:r>
            <w:r>
              <w:rPr>
                <w:rFonts w:cs="Times New Roman" w:ascii="Times New Roman" w:hAnsi="Times New Roman"/>
                <w:bCs/>
                <w:color w:val="000000" w:themeColor="text1"/>
                <w:sz w:val="28"/>
                <w:szCs w:val="28"/>
              </w:rPr>
              <w:t>Liviu Deleanu</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650</w:t>
            </w:r>
          </w:p>
        </w:tc>
      </w:tr>
      <w:tr>
        <w:trPr>
          <w:trHeight w:val="540"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124</w:t>
            </w:r>
          </w:p>
        </w:tc>
        <w:tc>
          <w:tcPr>
            <w:tcW w:w="6970" w:type="dxa"/>
            <w:tcBorders>
              <w:bottom w:val="single" w:sz="4" w:space="0" w:color="000000"/>
              <w:right w:val="single" w:sz="4" w:space="0" w:color="000000"/>
            </w:tcBorders>
            <w:vAlign w:val="center"/>
          </w:tcPr>
          <w:p>
            <w:pPr>
              <w:pStyle w:val="Normal"/>
              <w:widowControl w:val="false"/>
              <w:spacing w:before="0" w:after="160"/>
              <w:ind w:left="459" w:hanging="567"/>
              <w:rPr>
                <w:rFonts w:ascii="Times New Roman" w:hAnsi="Times New Roman" w:cs="Times New Roman"/>
                <w:bCs/>
                <w:color w:val="000000" w:themeColor="text1"/>
                <w:sz w:val="28"/>
                <w:szCs w:val="28"/>
              </w:rPr>
            </w:pPr>
            <w:r>
              <w:rPr>
                <w:rFonts w:cs="Times New Roman" w:ascii="Times New Roman" w:hAnsi="Times New Roman"/>
                <w:bCs/>
                <w:color w:val="000000" w:themeColor="text1"/>
                <w:sz w:val="28"/>
                <w:szCs w:val="28"/>
                <w:lang w:val="en-US"/>
              </w:rPr>
              <w:t xml:space="preserve">  </w:t>
            </w:r>
            <w:r>
              <w:rPr>
                <w:rFonts w:cs="Times New Roman" w:ascii="Times New Roman" w:hAnsi="Times New Roman"/>
                <w:bCs/>
                <w:color w:val="000000" w:themeColor="text1"/>
                <w:sz w:val="28"/>
                <w:szCs w:val="28"/>
                <w:lang w:val="en-US"/>
              </w:rPr>
              <w:t xml:space="preserve">Or. Durlești (str. Tudor Vladimirescu) –  șos. </w:t>
            </w:r>
            <w:r>
              <w:rPr>
                <w:rFonts w:cs="Times New Roman" w:ascii="Times New Roman" w:hAnsi="Times New Roman"/>
                <w:bCs/>
                <w:color w:val="000000" w:themeColor="text1"/>
                <w:sz w:val="28"/>
                <w:szCs w:val="28"/>
              </w:rPr>
              <w:t>H</w:t>
            </w:r>
            <w:r>
              <w:rPr>
                <w:rFonts w:cs="Times New Roman" w:ascii="Times New Roman" w:hAnsi="Times New Roman"/>
                <w:bCs/>
                <w:color w:val="000000" w:themeColor="text1"/>
                <w:sz w:val="28"/>
                <w:szCs w:val="28"/>
                <w:lang w:val="ro-RO"/>
              </w:rPr>
              <w:t>î</w:t>
            </w:r>
            <w:r>
              <w:rPr>
                <w:rFonts w:cs="Times New Roman" w:ascii="Times New Roman" w:hAnsi="Times New Roman"/>
                <w:bCs/>
                <w:color w:val="000000" w:themeColor="text1"/>
                <w:sz w:val="28"/>
                <w:szCs w:val="28"/>
              </w:rPr>
              <w:t>ncești</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500</w:t>
            </w:r>
          </w:p>
        </w:tc>
      </w:tr>
      <w:tr>
        <w:trPr>
          <w:trHeight w:val="46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lang w:val="ro-RO"/>
              </w:rPr>
            </w:pPr>
            <w:r>
              <w:rPr>
                <w:rFonts w:cs="Times New Roman" w:ascii="Times New Roman" w:hAnsi="Times New Roman"/>
                <w:color w:val="000000" w:themeColor="text1"/>
                <w:sz w:val="28"/>
                <w:szCs w:val="28"/>
                <w:lang w:val="ro-RO"/>
              </w:rPr>
              <w:t>130</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lang w:val="ro-RO"/>
              </w:rPr>
            </w:pPr>
            <w:r>
              <w:rPr>
                <w:rFonts w:cs="Times New Roman" w:ascii="Times New Roman" w:hAnsi="Times New Roman"/>
                <w:bCs/>
                <w:color w:val="000000" w:themeColor="text1"/>
                <w:sz w:val="28"/>
                <w:szCs w:val="28"/>
                <w:lang w:val="ro-RO"/>
              </w:rPr>
              <w:t>Or. Vadu</w:t>
            </w:r>
            <w:r>
              <w:rPr>
                <w:rFonts w:cs="Times New Roman" w:ascii="Times New Roman" w:hAnsi="Times New Roman"/>
                <w:bCs/>
                <w:color w:val="000000" w:themeColor="text1"/>
                <w:sz w:val="28"/>
                <w:szCs w:val="28"/>
                <w:lang w:val="ro-RO"/>
              </w:rPr>
              <w:t>l</w:t>
            </w:r>
            <w:r>
              <w:rPr>
                <w:rFonts w:cs="Times New Roman" w:ascii="Times New Roman" w:hAnsi="Times New Roman"/>
                <w:bCs/>
                <w:color w:val="000000" w:themeColor="text1"/>
                <w:sz w:val="28"/>
                <w:szCs w:val="28"/>
                <w:lang w:val="ro-RO"/>
              </w:rPr>
              <w:t xml:space="preserve"> lui Vodă (plaja) – str. Bulgară</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lang w:val="en-US"/>
              </w:rPr>
            </w:pPr>
            <w:r>
              <w:rPr>
                <w:rFonts w:cs="Times New Roman" w:ascii="Times New Roman" w:hAnsi="Times New Roman"/>
                <w:color w:val="000000" w:themeColor="text1"/>
                <w:sz w:val="28"/>
                <w:szCs w:val="28"/>
                <w:lang w:val="en-US"/>
              </w:rPr>
              <w:t>500/600</w:t>
            </w:r>
          </w:p>
        </w:tc>
      </w:tr>
      <w:tr>
        <w:trPr>
          <w:trHeight w:val="46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lang w:val="en-US"/>
              </w:rPr>
            </w:pPr>
            <w:r>
              <w:rPr>
                <w:rFonts w:cs="Times New Roman" w:ascii="Times New Roman" w:hAnsi="Times New Roman"/>
                <w:color w:val="000000" w:themeColor="text1"/>
                <w:sz w:val="28"/>
                <w:szCs w:val="28"/>
                <w:lang w:val="en-US"/>
              </w:rPr>
              <w:t>134</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lang w:val="en-US"/>
              </w:rPr>
            </w:pPr>
            <w:r>
              <w:rPr>
                <w:rFonts w:cs="Times New Roman" w:ascii="Times New Roman" w:hAnsi="Times New Roman"/>
                <w:bCs/>
                <w:color w:val="000000" w:themeColor="text1"/>
                <w:sz w:val="28"/>
                <w:szCs w:val="28"/>
                <w:lang w:val="en-US"/>
              </w:rPr>
              <w:t>Str. Doina – str. Bulgară</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lang w:val="en-US"/>
              </w:rPr>
            </w:pPr>
            <w:r>
              <w:rPr>
                <w:rFonts w:cs="Times New Roman" w:ascii="Times New Roman" w:hAnsi="Times New Roman"/>
                <w:color w:val="000000" w:themeColor="text1"/>
                <w:sz w:val="28"/>
                <w:szCs w:val="28"/>
                <w:lang w:val="en-US"/>
              </w:rPr>
              <w:t>500</w:t>
            </w:r>
          </w:p>
        </w:tc>
      </w:tr>
      <w:tr>
        <w:trPr>
          <w:trHeight w:val="510"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lang w:val="en-US"/>
              </w:rPr>
            </w:pPr>
            <w:r>
              <w:rPr>
                <w:rFonts w:cs="Times New Roman" w:ascii="Times New Roman" w:hAnsi="Times New Roman"/>
                <w:color w:val="000000" w:themeColor="text1"/>
                <w:sz w:val="28"/>
                <w:szCs w:val="28"/>
                <w:lang w:val="en-US"/>
              </w:rPr>
              <w:t>138</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lang w:val="en-US"/>
              </w:rPr>
            </w:pPr>
            <w:r>
              <w:rPr>
                <w:rFonts w:cs="Times New Roman" w:ascii="Times New Roman" w:hAnsi="Times New Roman"/>
                <w:bCs/>
                <w:color w:val="000000" w:themeColor="text1"/>
                <w:sz w:val="28"/>
                <w:szCs w:val="28"/>
                <w:lang w:val="en-US"/>
              </w:rPr>
              <w:t>Comuna Bubuieci (str. Gr. Vieru) – str. Bulgară</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highlight w:val="yellow"/>
                <w:lang w:val="en-US"/>
              </w:rPr>
            </w:pPr>
            <w:r>
              <w:rPr>
                <w:rFonts w:cs="Times New Roman" w:ascii="Times New Roman" w:hAnsi="Times New Roman"/>
                <w:color w:val="000000" w:themeColor="text1"/>
                <w:sz w:val="28"/>
                <w:szCs w:val="28"/>
                <w:lang w:val="en-US"/>
              </w:rPr>
              <w:t>325</w:t>
            </w:r>
          </w:p>
        </w:tc>
      </w:tr>
      <w:tr>
        <w:trPr>
          <w:trHeight w:val="510"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lang w:val="en-US"/>
              </w:rPr>
            </w:pPr>
            <w:r>
              <w:rPr>
                <w:rFonts w:cs="Times New Roman" w:ascii="Times New Roman" w:hAnsi="Times New Roman"/>
                <w:color w:val="000000" w:themeColor="text1"/>
                <w:sz w:val="28"/>
                <w:szCs w:val="28"/>
                <w:lang w:val="en-US"/>
              </w:rPr>
              <w:t>151</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rPr>
            </w:pPr>
            <w:r>
              <w:rPr>
                <w:rFonts w:cs="Times New Roman" w:ascii="Times New Roman" w:hAnsi="Times New Roman"/>
                <w:color w:val="000000" w:themeColor="text1"/>
                <w:sz w:val="28"/>
                <w:szCs w:val="28"/>
                <w:lang w:val="en-US"/>
              </w:rPr>
              <w:t>S</w:t>
            </w:r>
            <w:r>
              <w:rPr>
                <w:rFonts w:cs="Times New Roman" w:ascii="Times New Roman" w:hAnsi="Times New Roman"/>
                <w:color w:val="000000" w:themeColor="text1"/>
                <w:sz w:val="28"/>
                <w:szCs w:val="28"/>
                <w:lang w:val="en-US"/>
              </w:rPr>
              <w:t>at</w:t>
            </w:r>
            <w:r>
              <w:rPr>
                <w:rFonts w:cs="Times New Roman" w:ascii="Times New Roman" w:hAnsi="Times New Roman"/>
                <w:color w:val="000000" w:themeColor="text1"/>
                <w:sz w:val="28"/>
                <w:szCs w:val="28"/>
                <w:lang w:val="en-US"/>
              </w:rPr>
              <w:t xml:space="preserve">. Cheltuitori – comuna Tohatin – str. </w:t>
            </w:r>
            <w:r>
              <w:rPr>
                <w:rFonts w:cs="Times New Roman" w:ascii="Times New Roman" w:hAnsi="Times New Roman"/>
                <w:color w:val="000000" w:themeColor="text1"/>
                <w:sz w:val="28"/>
                <w:szCs w:val="28"/>
              </w:rPr>
              <w:t>Meșterul Manole</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400</w:t>
            </w:r>
          </w:p>
        </w:tc>
      </w:tr>
      <w:tr>
        <w:trPr>
          <w:trHeight w:val="52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157</w:t>
            </w:r>
          </w:p>
        </w:tc>
        <w:tc>
          <w:tcPr>
            <w:tcW w:w="6970" w:type="dxa"/>
            <w:tcBorders>
              <w:bottom w:val="single" w:sz="4" w:space="0" w:color="000000"/>
              <w:right w:val="single" w:sz="4" w:space="0" w:color="000000"/>
            </w:tcBorders>
            <w:vAlign w:val="center"/>
          </w:tcPr>
          <w:p>
            <w:pPr>
              <w:pStyle w:val="Normal"/>
              <w:widowControl w:val="false"/>
              <w:rPr>
                <w:rFonts w:ascii="Times New Roman" w:hAnsi="Times New Roman" w:cs="Times New Roman"/>
                <w:bCs/>
                <w:color w:val="000000" w:themeColor="text1"/>
                <w:sz w:val="28"/>
                <w:szCs w:val="28"/>
                <w:lang w:val="en-US"/>
              </w:rPr>
            </w:pPr>
            <w:r>
              <w:rPr>
                <w:rFonts w:cs="Times New Roman" w:ascii="Times New Roman" w:hAnsi="Times New Roman"/>
                <w:bCs/>
                <w:color w:val="000000" w:themeColor="text1"/>
                <w:sz w:val="28"/>
                <w:szCs w:val="28"/>
                <w:lang w:val="en-US"/>
              </w:rPr>
              <w:t>Raza limitrofă a mun</w:t>
            </w:r>
            <w:r>
              <w:rPr>
                <w:rFonts w:cs="Times New Roman" w:ascii="Times New Roman" w:hAnsi="Times New Roman"/>
                <w:bCs/>
                <w:color w:val="000000" w:themeColor="text1"/>
                <w:sz w:val="28"/>
                <w:szCs w:val="28"/>
                <w:lang w:val="en-US"/>
              </w:rPr>
              <w:t>icipiului</w:t>
            </w:r>
            <w:r>
              <w:rPr>
                <w:rFonts w:cs="Times New Roman" w:ascii="Times New Roman" w:hAnsi="Times New Roman"/>
                <w:bCs/>
                <w:color w:val="000000" w:themeColor="text1"/>
                <w:sz w:val="28"/>
                <w:szCs w:val="28"/>
                <w:lang w:val="en-US"/>
              </w:rPr>
              <w:t xml:space="preserve"> Chișinău cu</w:t>
            </w:r>
          </w:p>
          <w:p>
            <w:pPr>
              <w:pStyle w:val="Normal"/>
              <w:widowControl w:val="false"/>
              <w:spacing w:before="0" w:after="160"/>
              <w:rPr>
                <w:rFonts w:ascii="Times New Roman" w:hAnsi="Times New Roman" w:cs="Times New Roman"/>
                <w:color w:val="000000" w:themeColor="text1"/>
                <w:sz w:val="28"/>
                <w:szCs w:val="28"/>
              </w:rPr>
            </w:pPr>
            <w:r>
              <w:rPr>
                <w:rFonts w:cs="Times New Roman" w:ascii="Times New Roman" w:hAnsi="Times New Roman"/>
                <w:bCs/>
                <w:color w:val="000000" w:themeColor="text1"/>
                <w:sz w:val="28"/>
                <w:szCs w:val="28"/>
                <w:lang w:val="en-US"/>
              </w:rPr>
              <w:t xml:space="preserve">com. Floreni (intersecţie cu calea ferată) – bd. </w:t>
            </w:r>
            <w:r>
              <w:rPr>
                <w:rFonts w:cs="Times New Roman" w:ascii="Times New Roman" w:hAnsi="Times New Roman"/>
                <w:bCs/>
                <w:color w:val="000000" w:themeColor="text1"/>
                <w:sz w:val="28"/>
                <w:szCs w:val="28"/>
              </w:rPr>
              <w:t>Iu. Gagarin</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500</w:t>
            </w:r>
          </w:p>
        </w:tc>
      </w:tr>
      <w:tr>
        <w:trPr>
          <w:trHeight w:val="55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159</w:t>
            </w:r>
          </w:p>
        </w:tc>
        <w:tc>
          <w:tcPr>
            <w:tcW w:w="6970" w:type="dxa"/>
            <w:tcBorders>
              <w:bottom w:val="single" w:sz="4" w:space="0" w:color="000000"/>
              <w:right w:val="single" w:sz="4" w:space="0" w:color="000000"/>
            </w:tcBorders>
            <w:vAlign w:val="center"/>
          </w:tcPr>
          <w:p>
            <w:pPr>
              <w:pStyle w:val="41"/>
              <w:widowControl w:val="false"/>
              <w:spacing w:before="0" w:after="0"/>
              <w:ind w:hanging="0"/>
              <w:jc w:val="left"/>
              <w:rPr>
                <w:b w:val="false"/>
                <w:b w:val="false"/>
                <w:bCs w:val="false"/>
                <w:color w:val="000000" w:themeColor="text1"/>
              </w:rPr>
            </w:pPr>
            <w:r>
              <w:rPr>
                <w:b w:val="false"/>
                <w:bCs w:val="false"/>
                <w:color w:val="000000" w:themeColor="text1"/>
              </w:rPr>
              <w:t>Str. Meșterul Manole  –  com. Budești</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400</w:t>
            </w:r>
          </w:p>
        </w:tc>
      </w:tr>
      <w:tr>
        <w:trPr>
          <w:trHeight w:val="40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162</w:t>
            </w:r>
          </w:p>
        </w:tc>
        <w:tc>
          <w:tcPr>
            <w:tcW w:w="6970" w:type="dxa"/>
            <w:tcBorders>
              <w:bottom w:val="single" w:sz="4" w:space="0" w:color="000000"/>
              <w:right w:val="single" w:sz="4" w:space="0" w:color="000000"/>
            </w:tcBorders>
            <w:vAlign w:val="center"/>
          </w:tcPr>
          <w:p>
            <w:pPr>
              <w:pStyle w:val="41"/>
              <w:widowControl w:val="false"/>
              <w:spacing w:before="0" w:after="0"/>
              <w:ind w:hanging="0"/>
              <w:jc w:val="left"/>
              <w:rPr>
                <w:b w:val="false"/>
                <w:b w:val="false"/>
                <w:bCs w:val="false"/>
                <w:color w:val="000000" w:themeColor="text1"/>
              </w:rPr>
            </w:pPr>
            <w:r>
              <w:rPr>
                <w:b w:val="false"/>
                <w:bCs w:val="false"/>
                <w:color w:val="000000" w:themeColor="text1"/>
              </w:rPr>
              <w:t xml:space="preserve">Str. Doina (Cimitirul </w:t>
            </w:r>
            <w:r>
              <w:rPr>
                <w:b w:val="false"/>
                <w:color w:val="000000" w:themeColor="text1"/>
              </w:rPr>
              <w:t>„</w:t>
            </w:r>
            <w:r>
              <w:rPr>
                <w:b w:val="false"/>
                <w:bCs w:val="false"/>
                <w:color w:val="000000" w:themeColor="text1"/>
              </w:rPr>
              <w:t>Sf. Lazăr</w:t>
            </w:r>
            <w:r>
              <w:rPr>
                <w:b w:val="false"/>
                <w:color w:val="000000" w:themeColor="text1"/>
              </w:rPr>
              <w:t>”</w:t>
            </w:r>
            <w:r>
              <w:rPr>
                <w:b w:val="false"/>
                <w:bCs w:val="false"/>
                <w:color w:val="000000" w:themeColor="text1"/>
              </w:rPr>
              <w:t>)</w:t>
            </w:r>
            <w:r>
              <w:rPr>
                <w:bCs w:val="false"/>
                <w:color w:val="000000" w:themeColor="text1"/>
              </w:rPr>
              <w:t xml:space="preserve"> </w:t>
            </w:r>
            <w:r>
              <w:rPr>
                <w:b w:val="false"/>
                <w:bCs w:val="false"/>
                <w:color w:val="000000" w:themeColor="text1"/>
              </w:rPr>
              <w:t>– str. Bulgară</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550</w:t>
            </w:r>
          </w:p>
        </w:tc>
      </w:tr>
      <w:tr>
        <w:trPr>
          <w:trHeight w:val="405" w:hRule="atLeast"/>
        </w:trPr>
        <w:tc>
          <w:tcPr>
            <w:tcW w:w="6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169</w:t>
            </w:r>
          </w:p>
        </w:tc>
        <w:tc>
          <w:tcPr>
            <w:tcW w:w="6970" w:type="dxa"/>
            <w:tcBorders>
              <w:top w:val="single" w:sz="4" w:space="0" w:color="000000"/>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rPr>
            </w:pPr>
            <w:r>
              <w:rPr>
                <w:rFonts w:cs="Times New Roman" w:ascii="Times New Roman" w:hAnsi="Times New Roman"/>
                <w:bCs/>
                <w:color w:val="000000" w:themeColor="text1"/>
                <w:sz w:val="28"/>
                <w:szCs w:val="28"/>
                <w:lang w:val="en-US"/>
              </w:rPr>
              <w:t xml:space="preserve">Or. Codru (str. Potârnichii) – str. </w:t>
            </w:r>
            <w:r>
              <w:rPr>
                <w:rFonts w:cs="Times New Roman" w:ascii="Times New Roman" w:hAnsi="Times New Roman"/>
                <w:bCs/>
                <w:color w:val="000000" w:themeColor="text1"/>
                <w:sz w:val="28"/>
                <w:szCs w:val="28"/>
              </w:rPr>
              <w:t>Maria Drăgan</w:t>
            </w:r>
          </w:p>
        </w:tc>
        <w:tc>
          <w:tcPr>
            <w:tcW w:w="1843" w:type="dxa"/>
            <w:tcBorders>
              <w:top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400</w:t>
            </w:r>
          </w:p>
        </w:tc>
      </w:tr>
      <w:tr>
        <w:trPr>
          <w:trHeight w:val="405" w:hRule="atLeast"/>
        </w:trPr>
        <w:tc>
          <w:tcPr>
            <w:tcW w:w="6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173</w:t>
            </w:r>
          </w:p>
        </w:tc>
        <w:tc>
          <w:tcPr>
            <w:tcW w:w="6970" w:type="dxa"/>
            <w:tcBorders>
              <w:top w:val="single" w:sz="4" w:space="0" w:color="000000"/>
              <w:bottom w:val="single" w:sz="4" w:space="0" w:color="000000"/>
              <w:right w:val="single" w:sz="4" w:space="0" w:color="000000"/>
            </w:tcBorders>
            <w:vAlign w:val="center"/>
          </w:tcPr>
          <w:p>
            <w:pPr>
              <w:pStyle w:val="41"/>
              <w:widowControl w:val="false"/>
              <w:spacing w:before="0" w:after="0"/>
              <w:ind w:right="-108" w:hanging="0"/>
              <w:jc w:val="left"/>
              <w:rPr>
                <w:b w:val="false"/>
                <w:b w:val="false"/>
                <w:bCs w:val="false"/>
                <w:color w:val="000000" w:themeColor="text1"/>
              </w:rPr>
            </w:pPr>
            <w:r>
              <w:rPr>
                <w:b w:val="false"/>
                <w:bCs w:val="false"/>
                <w:color w:val="000000" w:themeColor="text1"/>
              </w:rPr>
              <w:t>Or. Codru (str. N. Turghenev) – Gara Auto Nord</w:t>
            </w:r>
          </w:p>
        </w:tc>
        <w:tc>
          <w:tcPr>
            <w:tcW w:w="1843" w:type="dxa"/>
            <w:tcBorders>
              <w:top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400</w:t>
            </w:r>
          </w:p>
        </w:tc>
      </w:tr>
      <w:tr>
        <w:trPr>
          <w:trHeight w:val="40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174</w:t>
            </w:r>
          </w:p>
        </w:tc>
        <w:tc>
          <w:tcPr>
            <w:tcW w:w="6970" w:type="dxa"/>
            <w:tcBorders>
              <w:bottom w:val="single" w:sz="4" w:space="0" w:color="000000"/>
              <w:right w:val="single" w:sz="4" w:space="0" w:color="000000"/>
            </w:tcBorders>
            <w:vAlign w:val="center"/>
          </w:tcPr>
          <w:p>
            <w:pPr>
              <w:pStyle w:val="41"/>
              <w:widowControl w:val="false"/>
              <w:spacing w:before="0" w:after="0"/>
              <w:ind w:hanging="0"/>
              <w:jc w:val="left"/>
              <w:rPr>
                <w:b w:val="false"/>
                <w:b w:val="false"/>
                <w:bCs w:val="false"/>
                <w:color w:val="000000" w:themeColor="text1"/>
              </w:rPr>
            </w:pPr>
            <w:r>
              <w:rPr>
                <w:b w:val="false"/>
                <w:bCs w:val="false"/>
                <w:color w:val="000000" w:themeColor="text1"/>
              </w:rPr>
              <w:t>Str. Gh. Codreanu – str. Pădurii</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600</w:t>
            </w:r>
          </w:p>
        </w:tc>
      </w:tr>
      <w:tr>
        <w:trPr>
          <w:trHeight w:val="405" w:hRule="atLeast"/>
        </w:trPr>
        <w:tc>
          <w:tcPr>
            <w:tcW w:w="6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178</w:t>
            </w:r>
          </w:p>
        </w:tc>
        <w:tc>
          <w:tcPr>
            <w:tcW w:w="6970" w:type="dxa"/>
            <w:tcBorders>
              <w:top w:val="single" w:sz="4" w:space="0" w:color="000000"/>
              <w:bottom w:val="single" w:sz="4" w:space="0" w:color="000000"/>
              <w:right w:val="single" w:sz="4" w:space="0" w:color="000000"/>
            </w:tcBorders>
            <w:vAlign w:val="center"/>
          </w:tcPr>
          <w:p>
            <w:pPr>
              <w:pStyle w:val="41"/>
              <w:widowControl w:val="false"/>
              <w:spacing w:before="0" w:after="0"/>
              <w:ind w:right="-108" w:hanging="0"/>
              <w:jc w:val="left"/>
              <w:rPr>
                <w:bCs w:val="false"/>
                <w:color w:val="000000" w:themeColor="text1"/>
              </w:rPr>
            </w:pPr>
            <w:r>
              <w:rPr>
                <w:b w:val="false"/>
                <w:bCs w:val="false"/>
                <w:color w:val="000000" w:themeColor="text1"/>
              </w:rPr>
              <w:t>Or. Codru (str. Schinoasa Deal) – Gara Auto Nord</w:t>
            </w:r>
          </w:p>
        </w:tc>
        <w:tc>
          <w:tcPr>
            <w:tcW w:w="1843" w:type="dxa"/>
            <w:tcBorders>
              <w:top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400</w:t>
            </w:r>
          </w:p>
        </w:tc>
      </w:tr>
      <w:tr>
        <w:trPr>
          <w:trHeight w:val="405" w:hRule="atLeast"/>
        </w:trPr>
        <w:tc>
          <w:tcPr>
            <w:tcW w:w="6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184</w:t>
            </w:r>
          </w:p>
        </w:tc>
        <w:tc>
          <w:tcPr>
            <w:tcW w:w="6970" w:type="dxa"/>
            <w:tcBorders>
              <w:top w:val="single" w:sz="4" w:space="0" w:color="000000"/>
              <w:bottom w:val="single" w:sz="4" w:space="0" w:color="000000"/>
              <w:right w:val="single" w:sz="4" w:space="0" w:color="000000"/>
            </w:tcBorders>
            <w:vAlign w:val="center"/>
          </w:tcPr>
          <w:p>
            <w:pPr>
              <w:pStyle w:val="41"/>
              <w:widowControl w:val="false"/>
              <w:spacing w:before="0" w:after="0"/>
              <w:ind w:hanging="0"/>
              <w:jc w:val="left"/>
              <w:rPr>
                <w:b w:val="false"/>
                <w:b w:val="false"/>
                <w:bCs w:val="false"/>
                <w:color w:val="000000" w:themeColor="text1"/>
              </w:rPr>
            </w:pPr>
            <w:r>
              <w:rPr>
                <w:b w:val="false"/>
                <w:bCs w:val="false"/>
                <w:color w:val="000000" w:themeColor="text1"/>
              </w:rPr>
              <w:t>Str. Constructorilor – str. Indepen</w:t>
            </w:r>
            <w:bookmarkStart w:id="0" w:name="_GoBack"/>
            <w:bookmarkEnd w:id="0"/>
            <w:r>
              <w:rPr>
                <w:b w:val="false"/>
                <w:bCs w:val="false"/>
                <w:color w:val="000000" w:themeColor="text1"/>
              </w:rPr>
              <w:t>denţei</w:t>
            </w:r>
          </w:p>
        </w:tc>
        <w:tc>
          <w:tcPr>
            <w:tcW w:w="1843" w:type="dxa"/>
            <w:tcBorders>
              <w:top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700</w:t>
            </w:r>
          </w:p>
        </w:tc>
      </w:tr>
      <w:tr>
        <w:trPr>
          <w:trHeight w:val="40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186</w:t>
            </w:r>
          </w:p>
        </w:tc>
        <w:tc>
          <w:tcPr>
            <w:tcW w:w="6970" w:type="dxa"/>
            <w:tcBorders>
              <w:bottom w:val="single" w:sz="4" w:space="0" w:color="000000"/>
              <w:right w:val="single" w:sz="4" w:space="0" w:color="000000"/>
            </w:tcBorders>
            <w:vAlign w:val="center"/>
          </w:tcPr>
          <w:p>
            <w:pPr>
              <w:pStyle w:val="Normal"/>
              <w:widowControl w:val="false"/>
              <w:spacing w:before="0" w:after="160"/>
              <w:rPr>
                <w:rFonts w:ascii="Times New Roman" w:hAnsi="Times New Roman" w:cs="Times New Roman"/>
                <w:bCs/>
                <w:color w:val="000000" w:themeColor="text1"/>
                <w:sz w:val="28"/>
                <w:szCs w:val="28"/>
              </w:rPr>
            </w:pPr>
            <w:r>
              <w:rPr>
                <w:rFonts w:cs="Times New Roman" w:ascii="Times New Roman" w:hAnsi="Times New Roman"/>
                <w:bCs/>
                <w:color w:val="000000" w:themeColor="text1"/>
                <w:sz w:val="28"/>
                <w:szCs w:val="28"/>
              </w:rPr>
              <w:t xml:space="preserve">Sat. Hulboaca – </w:t>
            </w:r>
            <w:r>
              <w:rPr>
                <w:rFonts w:cs="Times New Roman" w:ascii="Times New Roman" w:hAnsi="Times New Roman"/>
                <w:color w:val="000000" w:themeColor="text1"/>
                <w:sz w:val="28"/>
                <w:szCs w:val="28"/>
              </w:rPr>
              <w:t>şos. H</w:t>
            </w:r>
            <w:r>
              <w:rPr>
                <w:rFonts w:cs="Times New Roman" w:ascii="Times New Roman" w:hAnsi="Times New Roman"/>
                <w:color w:val="000000" w:themeColor="text1"/>
                <w:sz w:val="28"/>
                <w:szCs w:val="28"/>
                <w:lang w:val="ro-RO"/>
              </w:rPr>
              <w:t>î</w:t>
            </w:r>
            <w:r>
              <w:rPr>
                <w:rFonts w:cs="Times New Roman" w:ascii="Times New Roman" w:hAnsi="Times New Roman"/>
                <w:color w:val="000000" w:themeColor="text1"/>
                <w:sz w:val="28"/>
                <w:szCs w:val="28"/>
              </w:rPr>
              <w:t>ncești</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500</w:t>
            </w:r>
          </w:p>
        </w:tc>
      </w:tr>
      <w:tr>
        <w:trPr>
          <w:trHeight w:val="405" w:hRule="atLeast"/>
        </w:trPr>
        <w:tc>
          <w:tcPr>
            <w:tcW w:w="652" w:type="dxa"/>
            <w:tcBorders>
              <w:left w:val="single" w:sz="4" w:space="0" w:color="000000"/>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191</w:t>
            </w:r>
          </w:p>
        </w:tc>
        <w:tc>
          <w:tcPr>
            <w:tcW w:w="6970" w:type="dxa"/>
            <w:tcBorders>
              <w:bottom w:val="single" w:sz="4" w:space="0" w:color="000000"/>
              <w:right w:val="single" w:sz="4" w:space="0" w:color="000000"/>
            </w:tcBorders>
            <w:vAlign w:val="center"/>
          </w:tcPr>
          <w:p>
            <w:pPr>
              <w:pStyle w:val="41"/>
              <w:widowControl w:val="false"/>
              <w:spacing w:before="0" w:after="0"/>
              <w:ind w:hanging="0"/>
              <w:jc w:val="left"/>
              <w:rPr>
                <w:b w:val="false"/>
                <w:b w:val="false"/>
                <w:bCs w:val="false"/>
                <w:color w:val="000000" w:themeColor="text1"/>
              </w:rPr>
            </w:pPr>
            <w:r>
              <w:rPr>
                <w:b w:val="false"/>
                <w:bCs w:val="false"/>
                <w:color w:val="000000" w:themeColor="text1"/>
              </w:rPr>
              <w:t>Str. Bucovinei – str. Gh. Cașu</w:t>
            </w:r>
          </w:p>
        </w:tc>
        <w:tc>
          <w:tcPr>
            <w:tcW w:w="1843" w:type="dxa"/>
            <w:tcBorders>
              <w:bottom w:val="single" w:sz="4" w:space="0" w:color="000000"/>
              <w:right w:val="single" w:sz="4" w:space="0" w:color="000000"/>
            </w:tcBorders>
            <w:vAlign w:val="center"/>
          </w:tcPr>
          <w:p>
            <w:pPr>
              <w:pStyle w:val="Normal"/>
              <w:widowControl w:val="false"/>
              <w:spacing w:before="0" w:after="160"/>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600</w:t>
            </w:r>
          </w:p>
        </w:tc>
      </w:tr>
    </w:tbl>
    <w:p>
      <w:pPr>
        <w:pStyle w:val="Normal"/>
        <w:rPr>
          <w:rFonts w:ascii="Calibri" w:hAnsi="Calibri"/>
          <w:sz w:val="28"/>
          <w:szCs w:val="28"/>
        </w:rPr>
      </w:pPr>
      <w:r>
        <w:rPr>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lang w:val="en-US"/>
        </w:rPr>
        <w:t>Not</w:t>
      </w:r>
      <w:r>
        <w:rPr>
          <w:rFonts w:cs="Times New Roman" w:ascii="Times New Roman" w:hAnsi="Times New Roman"/>
          <w:sz w:val="28"/>
          <w:szCs w:val="28"/>
        </w:rPr>
        <w:t>e:</w:t>
      </w:r>
    </w:p>
    <w:p>
      <w:pPr>
        <w:pStyle w:val="NoSpacing"/>
        <w:ind w:left="360" w:hanging="0"/>
        <w:jc w:val="both"/>
        <w:rPr>
          <w:lang w:val="ro-RO"/>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1. Subiecți ai impunerii cu taxe locale lunare pentru prestarea serviciilor de transport auto de călători pe teritoriul municipiului Chișinău se consideră persoanele juridice sau fizice, înregistrate în calitate de întreprinzători, care prestează servicii de transport auto de călători pe rutele regulate municipale sau în regim de taxi și care dispun de licențe pentru acest gen de activitate.</w:t>
      </w:r>
    </w:p>
    <w:p>
      <w:pPr>
        <w:pStyle w:val="NoSpacing"/>
        <w:ind w:left="360" w:hanging="0"/>
        <w:jc w:val="both"/>
        <w:rPr>
          <w:rFonts w:ascii="Times New Roman" w:hAnsi="Times New Roman" w:cs="Times New Roman"/>
          <w:sz w:val="28"/>
          <w:szCs w:val="28"/>
          <w:lang w:val="en-US"/>
        </w:rPr>
      </w:pPr>
      <w:r>
        <w:rPr>
          <w:rFonts w:cs="Times New Roman" w:ascii="Times New Roman" w:hAnsi="Times New Roman"/>
          <w:sz w:val="28"/>
          <w:szCs w:val="28"/>
          <w:lang w:val="ro-RO"/>
        </w:rPr>
        <w:t xml:space="preserve"> </w:t>
      </w:r>
      <w:r>
        <w:rPr>
          <w:rFonts w:cs="Times New Roman" w:ascii="Times New Roman" w:hAnsi="Times New Roman"/>
          <w:sz w:val="28"/>
          <w:szCs w:val="28"/>
          <w:lang w:val="en-US"/>
        </w:rPr>
        <w:t xml:space="preserve">         </w:t>
      </w:r>
      <w:r>
        <w:rPr>
          <w:rFonts w:cs="Times New Roman" w:ascii="Times New Roman" w:hAnsi="Times New Roman"/>
          <w:sz w:val="28"/>
          <w:szCs w:val="28"/>
          <w:lang w:val="en-US"/>
        </w:rPr>
        <w:t>2. Se scutesc întreprinderile municipale Parcul urban de autobuze și Regia transport electric, de plata taxei locale lunare, pentru dreptul de a presta servicii de transport auto de călători pe teritoriul municipiului Chișinău, operate cu unitățile de transport aflate la balanța întreprinderilor în cauză.</w:t>
      </w:r>
    </w:p>
    <w:p>
      <w:pPr>
        <w:pStyle w:val="NoSpacing"/>
        <w:ind w:left="360" w:hanging="0"/>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3. Se învestește Direcția </w:t>
      </w:r>
      <w:r>
        <w:rPr>
          <w:rFonts w:cs="Times New Roman" w:ascii="Times New Roman" w:hAnsi="Times New Roman"/>
          <w:sz w:val="28"/>
          <w:szCs w:val="28"/>
          <w:lang w:val="en-US"/>
        </w:rPr>
        <w:t>generală mobilitate urbană</w:t>
      </w:r>
      <w:r>
        <w:rPr>
          <w:rFonts w:cs="Times New Roman" w:ascii="Times New Roman" w:hAnsi="Times New Roman"/>
          <w:sz w:val="28"/>
          <w:szCs w:val="28"/>
          <w:lang w:val="en-US"/>
        </w:rPr>
        <w:t xml:space="preserve"> a Consiliului Municipal Chișinău, cu dreptul de beneficiar la prestarea serviciilor de transportare a călătorilor în raza municipiului Chișinău și cu dreptul de a încheia contracte de administrare a rutelor municipale.</w:t>
      </w:r>
    </w:p>
    <w:p>
      <w:pPr>
        <w:pStyle w:val="NoSpacing"/>
        <w:ind w:left="360" w:hanging="0"/>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4. Numărul concret al unităților de transport pentru fiecare rută în parte se stabilește lunar de către Primăria Municipiului Chișinău, prin Planul operațional, în funcție de necesitățile urbei.</w:t>
      </w:r>
    </w:p>
    <w:p>
      <w:pPr>
        <w:pStyle w:val="NoSpacing"/>
        <w:ind w:left="360" w:hanging="0"/>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5. Cota-parte a taxei locale, indicată la numărător, se achită în perioadele 1 septembrie-31 mai și, respectiv, 1 iunie-31 august.</w:t>
      </w:r>
    </w:p>
    <w:p>
      <w:pPr>
        <w:pStyle w:val="NoSpacing"/>
        <w:ind w:left="360" w:hanging="0"/>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6. Se stabilește cota provizorie a taxei locale pentru prestarea serviciilor de transport auto de călători pe teritoriul municipiului Chișinău pe rutele nou- deschise, în mărime de 325 lei, și coeficientul de emisie la rută de 0,75, până la aprobarea cotei taxei locale respective prin decizia Consiliului Municipal Chișinău.  </w:t>
      </w:r>
    </w:p>
    <w:p>
      <w:pPr>
        <w:pStyle w:val="NoSpacing"/>
        <w:ind w:left="360" w:hanging="0"/>
        <w:jc w:val="both"/>
        <w:rPr>
          <w:rFonts w:ascii="Times New Roman" w:hAnsi="Times New Roman" w:cs="Times New Roman"/>
          <w:sz w:val="28"/>
          <w:szCs w:val="28"/>
          <w:lang w:val="en-US"/>
        </w:rPr>
      </w:pPr>
      <w:r>
        <w:rPr>
          <w:rFonts w:cs="Times New Roman" w:ascii="Times New Roman" w:hAnsi="Times New Roman"/>
          <w:sz w:val="28"/>
          <w:szCs w:val="28"/>
          <w:lang w:val="en-US"/>
        </w:rPr>
      </w:r>
    </w:p>
    <w:p>
      <w:pPr>
        <w:pStyle w:val="NoSpacing"/>
        <w:ind w:left="360" w:hanging="0"/>
        <w:jc w:val="both"/>
        <w:rPr>
          <w:rFonts w:ascii="Times New Roman" w:hAnsi="Times New Roman" w:cs="Times New Roman"/>
          <w:sz w:val="28"/>
          <w:szCs w:val="28"/>
          <w:lang w:val="en-US"/>
        </w:rPr>
      </w:pPr>
      <w:r>
        <w:rPr>
          <w:rFonts w:cs="Times New Roman" w:ascii="Times New Roman" w:hAnsi="Times New Roman"/>
          <w:sz w:val="28"/>
          <w:szCs w:val="28"/>
          <w:lang w:val="en-US"/>
        </w:rPr>
      </w:r>
    </w:p>
    <w:p>
      <w:pPr>
        <w:pStyle w:val="NoSpacing"/>
        <w:ind w:left="360" w:hanging="0"/>
        <w:jc w:val="both"/>
        <w:rPr>
          <w:rFonts w:ascii="Times New Roman" w:hAnsi="Times New Roman" w:cs="Times New Roman"/>
          <w:sz w:val="28"/>
          <w:szCs w:val="28"/>
          <w:lang w:val="en-US"/>
        </w:rPr>
      </w:pPr>
      <w:r>
        <w:rPr>
          <w:rFonts w:cs="Times New Roman" w:ascii="Times New Roman" w:hAnsi="Times New Roman"/>
          <w:sz w:val="28"/>
          <w:szCs w:val="28"/>
          <w:lang w:val="en-US"/>
        </w:rPr>
      </w:r>
    </w:p>
    <w:p>
      <w:pPr>
        <w:pStyle w:val="NoSpacing"/>
        <w:ind w:left="360" w:hanging="0"/>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SECRETAR INTERIMAR </w:t>
      </w:r>
    </w:p>
    <w:p>
      <w:pPr>
        <w:pStyle w:val="NoSpacing"/>
        <w:ind w:left="360" w:hanging="0"/>
        <w:jc w:val="both"/>
        <w:rPr>
          <w:lang w:val="en-US"/>
        </w:rPr>
      </w:pPr>
      <w:r>
        <w:rPr>
          <w:rFonts w:cs="Times New Roman" w:ascii="Times New Roman" w:hAnsi="Times New Roman"/>
          <w:sz w:val="28"/>
          <w:szCs w:val="28"/>
          <w:lang w:val="en-US"/>
        </w:rPr>
        <w:t>AL CONSILIULUI                                                              Adrian TALMACI</w:t>
      </w:r>
    </w:p>
    <w:p>
      <w:pPr>
        <w:pStyle w:val="Normal"/>
        <w:rPr>
          <w:lang w:val="en-US"/>
        </w:rPr>
      </w:pPr>
      <w:r>
        <w:rPr>
          <w:lang w:val="en-US"/>
        </w:rPr>
      </w:r>
    </w:p>
    <w:p>
      <w:pPr>
        <w:pStyle w:val="Normal"/>
        <w:spacing w:before="0" w:after="160"/>
        <w:rPr>
          <w:lang w:val="en-US"/>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hyphenationZone w:val="425"/>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o-RO"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115d2"/>
    <w:pPr>
      <w:widowControl/>
      <w:suppressAutoHyphens w:val="true"/>
      <w:bidi w:val="0"/>
      <w:spacing w:lineRule="auto" w:line="254"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uiPriority w:val="99"/>
    <w:semiHidden/>
    <w:qFormat/>
    <w:rsid w:val="002115d2"/>
    <w:rPr>
      <w:lang w:val="ru-RU"/>
    </w:rPr>
  </w:style>
  <w:style w:type="character" w:styleId="4" w:customStyle="1">
    <w:name w:val="Заголовок 4 Знак"/>
    <w:basedOn w:val="DefaultParagraphFont"/>
    <w:link w:val="41"/>
    <w:qFormat/>
    <w:locked/>
    <w:rsid w:val="002115d2"/>
    <w:rPr>
      <w:rFonts w:ascii="Times New Roman" w:hAnsi="Times New Roman" w:eastAsia="Times New Roman" w:cs="Times New Roman"/>
      <w:b/>
      <w:bCs/>
      <w:sz w:val="28"/>
      <w:szCs w:val="28"/>
      <w:lang w:eastAsia="ru-RU"/>
    </w:rPr>
  </w:style>
  <w:style w:type="character" w:styleId="1" w:customStyle="1">
    <w:name w:val="Основной текст Знак1"/>
    <w:basedOn w:val="DefaultParagraphFont"/>
    <w:qFormat/>
    <w:locked/>
    <w:rsid w:val="002115d2"/>
    <w:rPr>
      <w:rFonts w:ascii="Times New Roman" w:hAnsi="Times New Roman" w:eastAsia="Times New Roman" w:cs="Times New Roman"/>
      <w:b/>
      <w:sz w:val="28"/>
      <w:szCs w:val="24"/>
      <w:lang w:eastAsia="ru-RU"/>
    </w:rPr>
  </w:style>
  <w:style w:type="paragraph" w:styleId="Titlu">
    <w:name w:val="Titlu"/>
    <w:basedOn w:val="Normal"/>
    <w:next w:val="Corptext"/>
    <w:qFormat/>
    <w:pPr>
      <w:keepNext w:val="true"/>
      <w:spacing w:before="240" w:after="120"/>
    </w:pPr>
    <w:rPr>
      <w:rFonts w:ascii="Liberation Sans" w:hAnsi="Liberation Sans" w:eastAsia="Unifont" w:cs="Noto Sans"/>
      <w:sz w:val="28"/>
      <w:szCs w:val="28"/>
    </w:rPr>
  </w:style>
  <w:style w:type="paragraph" w:styleId="Corptext">
    <w:name w:val="Body Text"/>
    <w:basedOn w:val="Normal"/>
    <w:link w:val="1"/>
    <w:unhideWhenUsed/>
    <w:rsid w:val="002115d2"/>
    <w:pPr>
      <w:spacing w:lineRule="auto" w:line="240" w:before="0" w:after="0"/>
      <w:jc w:val="both"/>
    </w:pPr>
    <w:rPr>
      <w:rFonts w:ascii="Times New Roman" w:hAnsi="Times New Roman" w:eastAsia="Times New Roman" w:cs="Times New Roman"/>
      <w:b/>
      <w:sz w:val="28"/>
      <w:szCs w:val="24"/>
      <w:lang w:val="ro-RO" w:eastAsia="ru-RU"/>
    </w:rPr>
  </w:style>
  <w:style w:type="paragraph" w:styleId="List">
    <w:name w:val="List"/>
    <w:basedOn w:val="Corptext"/>
    <w:pPr/>
    <w:rPr>
      <w:rFonts w:cs="Noto Sans"/>
    </w:rPr>
  </w:style>
  <w:style w:type="paragraph" w:styleId="Legend">
    <w:name w:val="Caption"/>
    <w:basedOn w:val="Normal"/>
    <w:qFormat/>
    <w:pPr>
      <w:suppressLineNumbers/>
      <w:spacing w:before="120" w:after="120"/>
    </w:pPr>
    <w:rPr>
      <w:rFonts w:cs="Noto Sans"/>
      <w:i/>
      <w:iCs/>
      <w:sz w:val="24"/>
      <w:szCs w:val="24"/>
    </w:rPr>
  </w:style>
  <w:style w:type="paragraph" w:styleId="Index">
    <w:name w:val="Index"/>
    <w:basedOn w:val="Normal"/>
    <w:qFormat/>
    <w:pPr>
      <w:suppressLineNumbers/>
    </w:pPr>
    <w:rPr>
      <w:rFonts w:cs="Noto Sans"/>
    </w:rPr>
  </w:style>
  <w:style w:type="paragraph" w:styleId="NoSpacing">
    <w:name w:val="No Spacing"/>
    <w:uiPriority w:val="1"/>
    <w:qFormat/>
    <w:rsid w:val="002115d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41" w:customStyle="1">
    <w:name w:val="Заголовок 41"/>
    <w:basedOn w:val="Normal"/>
    <w:next w:val="Normal"/>
    <w:link w:val="4"/>
    <w:qFormat/>
    <w:rsid w:val="002115d2"/>
    <w:pPr>
      <w:keepNext w:val="true"/>
      <w:spacing w:lineRule="auto" w:line="240" w:before="240" w:after="60"/>
      <w:ind w:firstLine="709"/>
      <w:jc w:val="both"/>
      <w:outlineLvl w:val="3"/>
    </w:pPr>
    <w:rPr>
      <w:rFonts w:ascii="Times New Roman" w:hAnsi="Times New Roman" w:eastAsia="Times New Roman" w:cs="Times New Roman"/>
      <w:b/>
      <w:bCs/>
      <w:sz w:val="28"/>
      <w:szCs w:val="28"/>
      <w:lang w:val="ro-RO"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Application>LibreOffice/7.3.7.2$Linux_X86_64 LibreOffice_project/30$Build-2</Application>
  <AppVersion>15.0000</AppVersion>
  <Pages>2</Pages>
  <Words>477</Words>
  <Characters>2686</Characters>
  <CharactersWithSpaces>3243</CharactersWithSpaces>
  <Paragraphs>84</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2022-11-03T13:00:00Z</dcterms:created>
  <dc:creator>mandreeva</dc:creator>
  <dc:description/>
  <dc:language>ro-RO</dc:language>
  <cp:lastModifiedBy/>
  <dcterms:modified xsi:type="dcterms:W3CDTF">2023-11-23T15:47:08Z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